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0" w:firstLineChars="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240" w:lineRule="exact"/>
        <w:jc w:val="center"/>
        <w:rPr>
          <w:rFonts w:hint="eastAsia" w:ascii="方正小标宋简体" w:hAnsi="黑体" w:eastAsia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2017年学法用法考试情况报告书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院机关纪委：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我（单位）现有人员  人,其中事业单位人员  人，工勤人员  人，其他人员  人。2017年参加学法用法考试  人，其中事业单位人员  人，工勤人员  人，其他人员  人。经统计核实，人员参考率  %，考试合格人数  人，合格率  %。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left="2835" w:leftChars="1350" w:firstLine="2400" w:firstLineChars="75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（单位签章）</w:t>
      </w:r>
    </w:p>
    <w:p>
      <w:pPr>
        <w:adjustRightInd w:val="0"/>
        <w:snapToGrid w:val="0"/>
        <w:spacing w:line="360" w:lineRule="auto"/>
        <w:ind w:left="2835" w:leftChars="1350" w:firstLine="960" w:firstLineChars="300"/>
        <w:jc w:val="center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07E9"/>
    <w:rsid w:val="79710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2017-12-12T08:10:00Z</dcterms:created>
  <dc:creator>夏日荷风</dc:creator>
  <cp:lastModifiedBy>夏日荷风</cp:lastModifiedBy>
  <dcterms:modified xsi:type="dcterms:W3CDTF">2017-12-12T08:10:54Z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